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64DD62" w14:textId="2AD6E294" w:rsidR="00E96000" w:rsidRDefault="00E96000" w:rsidP="00E96000">
      <w:pPr>
        <w:rPr>
          <w:b/>
          <w:bCs/>
          <w:lang w:val="en-US"/>
        </w:rPr>
      </w:pPr>
      <w:r w:rsidRPr="00E96000">
        <w:rPr>
          <w:b/>
          <w:bCs/>
          <w:lang w:val="en-US"/>
        </w:rPr>
        <w:t>Assessment of prognosis and cardiovascular complications in the course of COVID-19 infection.</w:t>
      </w:r>
      <w:r>
        <w:rPr>
          <w:b/>
          <w:bCs/>
          <w:lang w:val="en-US"/>
        </w:rPr>
        <w:t xml:space="preserve"> R</w:t>
      </w:r>
      <w:r w:rsidRPr="00E96000">
        <w:rPr>
          <w:b/>
          <w:bCs/>
          <w:lang w:val="en-US"/>
        </w:rPr>
        <w:t xml:space="preserve">eference </w:t>
      </w:r>
      <w:proofErr w:type="spellStart"/>
      <w:r w:rsidRPr="00E96000">
        <w:rPr>
          <w:b/>
          <w:bCs/>
          <w:lang w:val="en-US"/>
        </w:rPr>
        <w:t>cen</w:t>
      </w:r>
      <w:r>
        <w:rPr>
          <w:b/>
          <w:bCs/>
          <w:lang w:val="en-US"/>
        </w:rPr>
        <w:t>tre</w:t>
      </w:r>
      <w:proofErr w:type="spellEnd"/>
      <w:r>
        <w:rPr>
          <w:b/>
          <w:bCs/>
          <w:lang w:val="en-US"/>
        </w:rPr>
        <w:t xml:space="preserve"> experience.</w:t>
      </w:r>
    </w:p>
    <w:p w14:paraId="3ECF8D41" w14:textId="77777777" w:rsidR="00E96000" w:rsidRDefault="00E96000" w:rsidP="00E96000">
      <w:pPr>
        <w:rPr>
          <w:b/>
          <w:bCs/>
          <w:lang w:val="en-US"/>
        </w:rPr>
      </w:pPr>
    </w:p>
    <w:p w14:paraId="2DA0ACE9" w14:textId="1E8DBE70" w:rsidR="00E96000" w:rsidRPr="00E96000" w:rsidRDefault="00E96000" w:rsidP="00E96000">
      <w:pPr>
        <w:rPr>
          <w:lang w:val="en-US"/>
        </w:rPr>
      </w:pPr>
      <w:r w:rsidRPr="00E96000">
        <w:rPr>
          <w:b/>
          <w:bCs/>
          <w:lang w:val="en-US"/>
        </w:rPr>
        <w:t xml:space="preserve">Introduction: </w:t>
      </w:r>
      <w:r w:rsidRPr="00E96000">
        <w:rPr>
          <w:lang w:val="en-US"/>
        </w:rPr>
        <w:t xml:space="preserve">Coronavirus infection SARS-CoV-2, may lead to heart damage and complications. </w:t>
      </w:r>
    </w:p>
    <w:p w14:paraId="08162237" w14:textId="77777777" w:rsidR="00E96000" w:rsidRPr="00E96000" w:rsidRDefault="00E96000" w:rsidP="00E96000">
      <w:pPr>
        <w:rPr>
          <w:lang w:val="en-US"/>
        </w:rPr>
      </w:pPr>
      <w:r w:rsidRPr="00E96000">
        <w:rPr>
          <w:b/>
          <w:bCs/>
          <w:lang w:val="en-US"/>
        </w:rPr>
        <w:t xml:space="preserve">Aim of the study: </w:t>
      </w:r>
      <w:r w:rsidRPr="00E96000">
        <w:rPr>
          <w:lang w:val="en-US"/>
        </w:rPr>
        <w:t xml:space="preserve">In the current work, we particularly focused on patients with pulmonary embolism and other cardiovascular diseases, trying to assess the impact of coronavirus infection on acute cardiovascular diseases. </w:t>
      </w:r>
    </w:p>
    <w:p w14:paraId="542B5AF7" w14:textId="77777777" w:rsidR="00E96000" w:rsidRPr="00E96000" w:rsidRDefault="00E96000" w:rsidP="00E96000">
      <w:pPr>
        <w:rPr>
          <w:lang w:val="en-US"/>
        </w:rPr>
      </w:pPr>
      <w:r w:rsidRPr="00E96000">
        <w:rPr>
          <w:lang w:val="en-US"/>
        </w:rPr>
        <w:t xml:space="preserve">The goals of the work were: </w:t>
      </w:r>
    </w:p>
    <w:p w14:paraId="1E4D9E68" w14:textId="77777777" w:rsidR="00E96000" w:rsidRPr="00E96000" w:rsidRDefault="00E96000" w:rsidP="00E96000">
      <w:pPr>
        <w:rPr>
          <w:lang w:val="en-US"/>
        </w:rPr>
      </w:pPr>
      <w:r w:rsidRPr="00E96000">
        <w:rPr>
          <w:lang w:val="en-US"/>
        </w:rPr>
        <w:t xml:space="preserve">1. To assess the incidence of PE among a large population of consecutive patients admitted with COVID-19 pneumonia at two reference centers. </w:t>
      </w:r>
    </w:p>
    <w:p w14:paraId="22C2CC1B" w14:textId="77777777" w:rsidR="00E96000" w:rsidRPr="00E96000" w:rsidRDefault="00E96000" w:rsidP="00E96000">
      <w:pPr>
        <w:rPr>
          <w:lang w:val="en-US"/>
        </w:rPr>
      </w:pPr>
      <w:r w:rsidRPr="00E96000">
        <w:rPr>
          <w:lang w:val="en-US"/>
        </w:rPr>
        <w:t xml:space="preserve">2. Assessment of the D-Dimer concentration threshold, which may be useful in the diagnosis and assessment of the prognosis of patients with acute pulmonary embolism and concomitant COVID 19 infection. </w:t>
      </w:r>
    </w:p>
    <w:p w14:paraId="261CF6DC" w14:textId="77777777" w:rsidR="00E96000" w:rsidRPr="00E96000" w:rsidRDefault="00E96000" w:rsidP="00E96000">
      <w:pPr>
        <w:rPr>
          <w:lang w:val="en-US"/>
        </w:rPr>
      </w:pPr>
      <w:r w:rsidRPr="00E96000">
        <w:rPr>
          <w:lang w:val="en-US"/>
        </w:rPr>
        <w:t xml:space="preserve">3 Assessment of the prognosis of patients with acute cardiovascular diseases, i.e. acute coronary syndromes, heart failure and pulmonary embolism in patients with COVID 19 infection. </w:t>
      </w:r>
    </w:p>
    <w:p w14:paraId="4037219A" w14:textId="77777777" w:rsidR="00E96000" w:rsidRPr="00E96000" w:rsidRDefault="00E96000" w:rsidP="00E96000">
      <w:pPr>
        <w:rPr>
          <w:lang w:val="en-US"/>
        </w:rPr>
      </w:pPr>
      <w:r w:rsidRPr="00E96000">
        <w:rPr>
          <w:b/>
          <w:bCs/>
          <w:lang w:val="en-US"/>
        </w:rPr>
        <w:t xml:space="preserve">Methods and results </w:t>
      </w:r>
    </w:p>
    <w:p w14:paraId="1E10D5F5" w14:textId="77777777" w:rsidR="00E96000" w:rsidRPr="00E96000" w:rsidRDefault="00E96000" w:rsidP="00E96000">
      <w:pPr>
        <w:rPr>
          <w:lang w:val="en-US"/>
        </w:rPr>
      </w:pPr>
      <w:r w:rsidRPr="00E96000">
        <w:rPr>
          <w:lang w:val="en-US"/>
        </w:rPr>
        <w:t xml:space="preserve">The verification of the first and second objectives was based on the analysis of another 456 patients with COVID-19 (diagnosed and treated in our Center and in the Department of Cardiology of the Medical University of Lodz), APE was diagnosed in 19.3%. All patients with APE received at least anticoagulation, seven patients received systemic thrombolysis. In the subgroup of patients with APE, mortality was comparable to patients without APE (19/88 (21.5%) vs. 101/368 (27.4%) for those without APE, p = 0.26). Importantly, patients with APE were characterized by higher D-dimer concentrations and a higher D-dimer to patient age ratio. Analysis of the year curve for the value of the D-dimer/age ratio in the diagnosis of APE was characterized by a high area under the curve AUC of 0.788 (95% CI 0.727- 0.848. On this basis, we identified a D-dimer concentration-to-age ratio useful in the diagnosis of acute respiratory syndrome in patients with COVID-19 infection, which was 70. This proposed D-dimer/age ratio was characterized by high diagnostic feasibility (sensitivity, specificity, negative predictive value, respectively). 83%, 94%, 96%, 73%). </w:t>
      </w:r>
    </w:p>
    <w:p w14:paraId="7EBAC127" w14:textId="3EE06764" w:rsidR="00E96000" w:rsidRPr="00E96000" w:rsidRDefault="00E96000" w:rsidP="00E96000">
      <w:pPr>
        <w:rPr>
          <w:lang w:val="en-US"/>
        </w:rPr>
      </w:pPr>
      <w:r w:rsidRPr="00E96000">
        <w:rPr>
          <w:lang w:val="en-US"/>
        </w:rPr>
        <w:t xml:space="preserve">The third objective was verified based on a retrospective analysis of 249 consecutive patients with COVID-19 infection who were treated in our department. In this group, there were 42 (16.9%) patients additionally diagnosed with APE, 37 (14.9%) with ACS (8 with myocardial infarction with ST segment elevation and 29 with myocardial infarction </w:t>
      </w:r>
      <w:r w:rsidRPr="00E96000">
        <w:rPr>
          <w:lang w:val="en-US"/>
        </w:rPr>
        <w:lastRenderedPageBreak/>
        <w:t xml:space="preserve">without ST segment elevation) and 19 (7.6%) with </w:t>
      </w:r>
      <w:proofErr w:type="spellStart"/>
      <w:r w:rsidRPr="00E96000">
        <w:rPr>
          <w:lang w:val="en-US"/>
        </w:rPr>
        <w:t>AMyo</w:t>
      </w:r>
      <w:proofErr w:type="spellEnd"/>
      <w:r w:rsidRPr="00E96000">
        <w:rPr>
          <w:lang w:val="en-US"/>
        </w:rPr>
        <w:t xml:space="preserve">. Additionally, 3 other patients (1.2%) were diagnosed with Takotsubo syndrome. </w:t>
      </w:r>
    </w:p>
    <w:p w14:paraId="5D90FB37" w14:textId="77777777" w:rsidR="00E96000" w:rsidRPr="00E96000" w:rsidRDefault="00E96000" w:rsidP="00E96000">
      <w:pPr>
        <w:rPr>
          <w:lang w:val="en-US"/>
        </w:rPr>
      </w:pPr>
      <w:r w:rsidRPr="00E96000">
        <w:rPr>
          <w:lang w:val="en-US"/>
        </w:rPr>
        <w:t xml:space="preserve">For calculation purposes, these 3 cases were analyzed together with patients with myocardial infarction and an ACS group was created (n=40). The remaining 148 (59.4%) patients experienced only COVID-19 pneumonia. Significant differences were found between groups in the levels of </w:t>
      </w:r>
      <w:proofErr w:type="spellStart"/>
      <w:r w:rsidRPr="00E96000">
        <w:rPr>
          <w:lang w:val="en-US"/>
        </w:rPr>
        <w:t>hsTnT</w:t>
      </w:r>
      <w:proofErr w:type="spellEnd"/>
      <w:r w:rsidRPr="00E96000">
        <w:rPr>
          <w:lang w:val="en-US"/>
        </w:rPr>
        <w:t>, NT-</w:t>
      </w:r>
      <w:proofErr w:type="spellStart"/>
      <w:r w:rsidRPr="00E96000">
        <w:rPr>
          <w:lang w:val="en-US"/>
        </w:rPr>
        <w:t>proBNP</w:t>
      </w:r>
      <w:proofErr w:type="spellEnd"/>
      <w:r w:rsidRPr="00E96000">
        <w:rPr>
          <w:lang w:val="en-US"/>
        </w:rPr>
        <w:t xml:space="preserve"> and D-dimer in plasma (P&lt;0.05). Moreover, post-analysis hoc showed that </w:t>
      </w:r>
      <w:proofErr w:type="spellStart"/>
      <w:r w:rsidRPr="00E96000">
        <w:rPr>
          <w:lang w:val="en-US"/>
        </w:rPr>
        <w:t>hsTnT</w:t>
      </w:r>
      <w:proofErr w:type="spellEnd"/>
      <w:r w:rsidRPr="00E96000">
        <w:rPr>
          <w:lang w:val="en-US"/>
        </w:rPr>
        <w:t xml:space="preserve"> and NT-</w:t>
      </w:r>
      <w:proofErr w:type="spellStart"/>
      <w:r w:rsidRPr="00E96000">
        <w:rPr>
          <w:lang w:val="en-US"/>
        </w:rPr>
        <w:t>proBNP</w:t>
      </w:r>
      <w:proofErr w:type="spellEnd"/>
      <w:r w:rsidRPr="00E96000">
        <w:rPr>
          <w:lang w:val="en-US"/>
        </w:rPr>
        <w:t xml:space="preserve"> levels were higher in patients with ACS (</w:t>
      </w:r>
      <w:proofErr w:type="spellStart"/>
      <w:r w:rsidRPr="00E96000">
        <w:rPr>
          <w:lang w:val="en-US"/>
        </w:rPr>
        <w:t>hsTnT</w:t>
      </w:r>
      <w:proofErr w:type="spellEnd"/>
      <w:r w:rsidRPr="00E96000">
        <w:rPr>
          <w:lang w:val="en-US"/>
        </w:rPr>
        <w:t>, 153.5 ng/ml; NT-</w:t>
      </w:r>
      <w:proofErr w:type="spellStart"/>
      <w:r w:rsidRPr="00E96000">
        <w:rPr>
          <w:lang w:val="en-US"/>
        </w:rPr>
        <w:t>proBNP</w:t>
      </w:r>
      <w:proofErr w:type="spellEnd"/>
      <w:r w:rsidRPr="00E96000">
        <w:rPr>
          <w:lang w:val="en-US"/>
        </w:rPr>
        <w:t xml:space="preserve">, 4200 </w:t>
      </w:r>
      <w:proofErr w:type="spellStart"/>
      <w:r w:rsidRPr="00E96000">
        <w:rPr>
          <w:lang w:val="en-US"/>
        </w:rPr>
        <w:t>pg</w:t>
      </w:r>
      <w:proofErr w:type="spellEnd"/>
      <w:r w:rsidRPr="00E96000">
        <w:rPr>
          <w:lang w:val="en-US"/>
        </w:rPr>
        <w:t xml:space="preserve">/ml. </w:t>
      </w:r>
      <w:proofErr w:type="spellStart"/>
      <w:r w:rsidRPr="00E96000">
        <w:rPr>
          <w:lang w:val="en-US"/>
        </w:rPr>
        <w:t>AMyo</w:t>
      </w:r>
      <w:proofErr w:type="spellEnd"/>
      <w:r w:rsidRPr="00E96000">
        <w:rPr>
          <w:lang w:val="en-US"/>
        </w:rPr>
        <w:t xml:space="preserve"> (</w:t>
      </w:r>
      <w:proofErr w:type="spellStart"/>
      <w:r w:rsidRPr="00E96000">
        <w:rPr>
          <w:lang w:val="en-US"/>
        </w:rPr>
        <w:t>hsTnT</w:t>
      </w:r>
      <w:proofErr w:type="spellEnd"/>
      <w:r w:rsidRPr="00E96000">
        <w:rPr>
          <w:lang w:val="en-US"/>
        </w:rPr>
        <w:t>, 75.5 ng/ml; NT-</w:t>
      </w:r>
      <w:proofErr w:type="spellStart"/>
      <w:r w:rsidRPr="00E96000">
        <w:rPr>
          <w:lang w:val="en-US"/>
        </w:rPr>
        <w:t>proBNP</w:t>
      </w:r>
      <w:proofErr w:type="spellEnd"/>
      <w:r w:rsidRPr="00E96000">
        <w:rPr>
          <w:lang w:val="en-US"/>
        </w:rPr>
        <w:t xml:space="preserve">, 9083 </w:t>
      </w:r>
      <w:proofErr w:type="spellStart"/>
      <w:r w:rsidRPr="00E96000">
        <w:rPr>
          <w:lang w:val="en-US"/>
        </w:rPr>
        <w:t>pg</w:t>
      </w:r>
      <w:proofErr w:type="spellEnd"/>
      <w:r w:rsidRPr="00E96000">
        <w:rPr>
          <w:lang w:val="en-US"/>
        </w:rPr>
        <w:t>/ml) than in patients with APE (</w:t>
      </w:r>
      <w:proofErr w:type="spellStart"/>
      <w:r w:rsidRPr="00E96000">
        <w:rPr>
          <w:lang w:val="en-US"/>
        </w:rPr>
        <w:t>hsTnT</w:t>
      </w:r>
      <w:proofErr w:type="spellEnd"/>
      <w:r w:rsidRPr="00E96000">
        <w:rPr>
          <w:lang w:val="en-US"/>
        </w:rPr>
        <w:t>, 26.0 ng/ml; NT-</w:t>
      </w:r>
      <w:proofErr w:type="spellStart"/>
      <w:r w:rsidRPr="00E96000">
        <w:rPr>
          <w:lang w:val="en-US"/>
        </w:rPr>
        <w:t>proBNP</w:t>
      </w:r>
      <w:proofErr w:type="spellEnd"/>
      <w:r w:rsidRPr="00E96000">
        <w:rPr>
          <w:lang w:val="en-US"/>
        </w:rPr>
        <w:t xml:space="preserve">, 962 </w:t>
      </w:r>
      <w:proofErr w:type="spellStart"/>
      <w:r w:rsidRPr="00E96000">
        <w:rPr>
          <w:lang w:val="en-US"/>
        </w:rPr>
        <w:t>pg</w:t>
      </w:r>
      <w:proofErr w:type="spellEnd"/>
      <w:r w:rsidRPr="00E96000">
        <w:rPr>
          <w:lang w:val="en-US"/>
        </w:rPr>
        <w:t>/ml) or COVID-19 pneumonia (</w:t>
      </w:r>
      <w:proofErr w:type="spellStart"/>
      <w:r w:rsidRPr="00E96000">
        <w:rPr>
          <w:lang w:val="en-US"/>
        </w:rPr>
        <w:t>hsTnT</w:t>
      </w:r>
      <w:proofErr w:type="spellEnd"/>
      <w:r w:rsidRPr="00E96000">
        <w:rPr>
          <w:lang w:val="en-US"/>
        </w:rPr>
        <w:t>, 22.5 ng/ml; NT-</w:t>
      </w:r>
      <w:proofErr w:type="spellStart"/>
      <w:r w:rsidRPr="00E96000">
        <w:rPr>
          <w:lang w:val="en-US"/>
        </w:rPr>
        <w:t>proBNP</w:t>
      </w:r>
      <w:proofErr w:type="spellEnd"/>
      <w:r w:rsidRPr="00E96000">
        <w:rPr>
          <w:lang w:val="en-US"/>
        </w:rPr>
        <w:t xml:space="preserve">, 996 </w:t>
      </w:r>
      <w:proofErr w:type="spellStart"/>
      <w:r w:rsidRPr="00E96000">
        <w:rPr>
          <w:lang w:val="en-US"/>
        </w:rPr>
        <w:t>pg</w:t>
      </w:r>
      <w:proofErr w:type="spellEnd"/>
      <w:r w:rsidRPr="00E96000">
        <w:rPr>
          <w:lang w:val="en-US"/>
        </w:rPr>
        <w:t xml:space="preserve">/ml), however, D-dimer levels were higher in patients with APE (12,675 ng/ml) than in patients with </w:t>
      </w:r>
      <w:proofErr w:type="spellStart"/>
      <w:r w:rsidRPr="00E96000">
        <w:rPr>
          <w:lang w:val="en-US"/>
        </w:rPr>
        <w:t>AMyo</w:t>
      </w:r>
      <w:proofErr w:type="spellEnd"/>
      <w:r w:rsidRPr="00E96000">
        <w:rPr>
          <w:lang w:val="en-US"/>
        </w:rPr>
        <w:t xml:space="preserve"> (1317 ng/ml) and COVID-19 (959 ng/ml). </w:t>
      </w:r>
    </w:p>
    <w:p w14:paraId="1E02452C" w14:textId="77777777" w:rsidR="00E96000" w:rsidRPr="00E96000" w:rsidRDefault="00E96000" w:rsidP="00E96000">
      <w:pPr>
        <w:rPr>
          <w:lang w:val="en-US"/>
        </w:rPr>
      </w:pPr>
      <w:r w:rsidRPr="00E96000">
        <w:rPr>
          <w:lang w:val="en-US"/>
        </w:rPr>
        <w:t>However, we did not observe differences in D-dimer concentrations between patients with APE and ACS (1494 ng/ml). D-dimer levels predicted the diagnosis of APE (AUC=0.850 CI95 [0.765; 0.935], p&lt;0.001) with a sensitivity of 69.4% and specificity of 96.2% for a level of 4968.0 ng/ml, and NT-</w:t>
      </w:r>
      <w:proofErr w:type="spellStart"/>
      <w:r w:rsidRPr="00E96000">
        <w:rPr>
          <w:lang w:val="en-US"/>
        </w:rPr>
        <w:t>proBNP</w:t>
      </w:r>
      <w:proofErr w:type="spellEnd"/>
      <w:r w:rsidRPr="00E96000">
        <w:rPr>
          <w:lang w:val="en-US"/>
        </w:rPr>
        <w:t xml:space="preserve"> predicted the diagnosis of </w:t>
      </w:r>
      <w:proofErr w:type="spellStart"/>
      <w:r w:rsidRPr="00E96000">
        <w:rPr>
          <w:lang w:val="en-US"/>
        </w:rPr>
        <w:t>AMyo</w:t>
      </w:r>
      <w:proofErr w:type="spellEnd"/>
      <w:r w:rsidRPr="00E96000">
        <w:rPr>
          <w:lang w:val="en-US"/>
        </w:rPr>
        <w:t xml:space="preserve"> (AUC = 0.692 CI95 [0.502; 0.883], p=0.004) and showed a sensitivity of 54.5% with a specificity of 86.5% for a cut-off point of 8970 </w:t>
      </w:r>
      <w:proofErr w:type="spellStart"/>
      <w:r w:rsidRPr="00E96000">
        <w:rPr>
          <w:lang w:val="en-US"/>
        </w:rPr>
        <w:t>pg</w:t>
      </w:r>
      <w:proofErr w:type="spellEnd"/>
      <w:r w:rsidRPr="00E96000">
        <w:rPr>
          <w:lang w:val="en-US"/>
        </w:rPr>
        <w:t xml:space="preserve">/ml. Troponin T levels in our study were not useful in differentiating between these cardiovascular diseases. Importantly, the degree of pulmonary involvement of COVID 19 infection in the entire group predicted mortality (OR = 1.03 CI95 [1.01, 1.04] for an increase of 1%, s&lt;0.001). After taking into account lung involvement, ACS was characterized by higher mortality compared to patients with only COVID-19 pneumonia (OR = 5.27 CI95 [1.76, 16.38] p = 0.003), while for APE and </w:t>
      </w:r>
      <w:proofErr w:type="spellStart"/>
      <w:r w:rsidRPr="00E96000">
        <w:rPr>
          <w:lang w:val="en-US"/>
        </w:rPr>
        <w:t>AMyo</w:t>
      </w:r>
      <w:proofErr w:type="spellEnd"/>
      <w:r w:rsidRPr="00E96000">
        <w:rPr>
          <w:lang w:val="en-US"/>
        </w:rPr>
        <w:t xml:space="preserve"> this was not found. dependence. </w:t>
      </w:r>
    </w:p>
    <w:p w14:paraId="58247ACE" w14:textId="77777777" w:rsidR="00E96000" w:rsidRPr="00E96000" w:rsidRDefault="00E96000" w:rsidP="00E96000">
      <w:pPr>
        <w:rPr>
          <w:lang w:val="en-US"/>
        </w:rPr>
      </w:pPr>
      <w:r w:rsidRPr="00E96000">
        <w:rPr>
          <w:b/>
          <w:bCs/>
          <w:lang w:val="en-US"/>
        </w:rPr>
        <w:t xml:space="preserve">Conclusions </w:t>
      </w:r>
    </w:p>
    <w:p w14:paraId="0A88182A" w14:textId="77777777" w:rsidR="00E96000" w:rsidRPr="00E96000" w:rsidRDefault="00E96000" w:rsidP="00E96000">
      <w:pPr>
        <w:rPr>
          <w:lang w:val="en-US"/>
        </w:rPr>
      </w:pPr>
      <w:r w:rsidRPr="00E96000">
        <w:rPr>
          <w:lang w:val="en-US"/>
        </w:rPr>
        <w:t xml:space="preserve">Based on the analysis of patients hospitalized due to pneumonia in the course of COVID 19 infection, we found that the measurement of D-dimer concentration may be useful in the diagnosis of acute pulmonary embolism, and the levels of this biomarker adjusted for the patient's age according to the formula patient's age x70 may still be useful. tool to start diagnostics </w:t>
      </w:r>
    </w:p>
    <w:p w14:paraId="25A8248C" w14:textId="2213C93E" w:rsidR="00E96000" w:rsidRPr="00E96000" w:rsidRDefault="00E96000" w:rsidP="00E96000">
      <w:pPr>
        <w:rPr>
          <w:lang w:val="en-US"/>
        </w:rPr>
      </w:pPr>
      <w:r w:rsidRPr="00E96000">
        <w:rPr>
          <w:lang w:val="en-US"/>
        </w:rPr>
        <w:t>Moreover, D-dimer D and NT-</w:t>
      </w:r>
      <w:proofErr w:type="spellStart"/>
      <w:r w:rsidRPr="00E96000">
        <w:rPr>
          <w:lang w:val="en-US"/>
        </w:rPr>
        <w:t>proBNP</w:t>
      </w:r>
      <w:proofErr w:type="spellEnd"/>
      <w:r w:rsidRPr="00E96000">
        <w:rPr>
          <w:lang w:val="en-US"/>
        </w:rPr>
        <w:t xml:space="preserve">, although not troponin T, are useful in the differentiation of cardiovascular diseases, i.e. acute coronary syndromes, myocarditis and pulmonary embolism in patients with pneumonia in the course of COVID-19 infection. In patients with acute coronary syndrome and COVID-19 infection, in-hospital mortality increased regardless of the degree of lung involvement, while no such relationship was found for APE and </w:t>
      </w:r>
      <w:proofErr w:type="spellStart"/>
      <w:r w:rsidRPr="00E96000">
        <w:rPr>
          <w:lang w:val="en-US"/>
        </w:rPr>
        <w:t>AMyo</w:t>
      </w:r>
      <w:proofErr w:type="spellEnd"/>
      <w:r w:rsidRPr="00E96000">
        <w:rPr>
          <w:lang w:val="en-US"/>
        </w:rPr>
        <w:t>.</w:t>
      </w:r>
    </w:p>
    <w:sectPr w:rsidR="00E96000" w:rsidRPr="00E9600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altName w:val="Aptos"/>
    <w:charset w:val="00"/>
    <w:family w:val="swiss"/>
    <w:pitch w:val="variable"/>
    <w:sig w:usb0="20000287" w:usb1="00000003" w:usb2="00000000" w:usb3="00000000" w:csb0="0000019F" w:csb1="00000000"/>
  </w:font>
  <w:font w:name="Times New Roman">
    <w:altName w:val="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000"/>
    <w:rsid w:val="00525B20"/>
    <w:rsid w:val="00E96000"/>
    <w:rsid w:val="00F835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76D27"/>
  <w15:chartTrackingRefBased/>
  <w15:docId w15:val="{55C22503-6D8D-478D-B96F-143DF85E7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E960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E960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E96000"/>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E96000"/>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E96000"/>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E96000"/>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E96000"/>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E96000"/>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E96000"/>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96000"/>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E96000"/>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E96000"/>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E96000"/>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E96000"/>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E96000"/>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E96000"/>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E96000"/>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E96000"/>
    <w:rPr>
      <w:rFonts w:eastAsiaTheme="majorEastAsia" w:cstheme="majorBidi"/>
      <w:color w:val="272727" w:themeColor="text1" w:themeTint="D8"/>
    </w:rPr>
  </w:style>
  <w:style w:type="paragraph" w:styleId="Tytu">
    <w:name w:val="Title"/>
    <w:basedOn w:val="Normalny"/>
    <w:next w:val="Normalny"/>
    <w:link w:val="TytuZnak"/>
    <w:uiPriority w:val="10"/>
    <w:qFormat/>
    <w:rsid w:val="00E960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E96000"/>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E96000"/>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E96000"/>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E96000"/>
    <w:pPr>
      <w:spacing w:before="160"/>
      <w:jc w:val="center"/>
    </w:pPr>
    <w:rPr>
      <w:i/>
      <w:iCs/>
      <w:color w:val="404040" w:themeColor="text1" w:themeTint="BF"/>
    </w:rPr>
  </w:style>
  <w:style w:type="character" w:customStyle="1" w:styleId="CytatZnak">
    <w:name w:val="Cytat Znak"/>
    <w:basedOn w:val="Domylnaczcionkaakapitu"/>
    <w:link w:val="Cytat"/>
    <w:uiPriority w:val="29"/>
    <w:rsid w:val="00E96000"/>
    <w:rPr>
      <w:i/>
      <w:iCs/>
      <w:color w:val="404040" w:themeColor="text1" w:themeTint="BF"/>
    </w:rPr>
  </w:style>
  <w:style w:type="paragraph" w:styleId="Akapitzlist">
    <w:name w:val="List Paragraph"/>
    <w:basedOn w:val="Normalny"/>
    <w:uiPriority w:val="34"/>
    <w:qFormat/>
    <w:rsid w:val="00E96000"/>
    <w:pPr>
      <w:ind w:left="720"/>
      <w:contextualSpacing/>
    </w:pPr>
  </w:style>
  <w:style w:type="character" w:styleId="Wyrnienieintensywne">
    <w:name w:val="Intense Emphasis"/>
    <w:basedOn w:val="Domylnaczcionkaakapitu"/>
    <w:uiPriority w:val="21"/>
    <w:qFormat/>
    <w:rsid w:val="00E96000"/>
    <w:rPr>
      <w:i/>
      <w:iCs/>
      <w:color w:val="0F4761" w:themeColor="accent1" w:themeShade="BF"/>
    </w:rPr>
  </w:style>
  <w:style w:type="paragraph" w:styleId="Cytatintensywny">
    <w:name w:val="Intense Quote"/>
    <w:basedOn w:val="Normalny"/>
    <w:next w:val="Normalny"/>
    <w:link w:val="CytatintensywnyZnak"/>
    <w:uiPriority w:val="30"/>
    <w:qFormat/>
    <w:rsid w:val="00E960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E96000"/>
    <w:rPr>
      <w:i/>
      <w:iCs/>
      <w:color w:val="0F4761" w:themeColor="accent1" w:themeShade="BF"/>
    </w:rPr>
  </w:style>
  <w:style w:type="character" w:styleId="Odwoanieintensywne">
    <w:name w:val="Intense Reference"/>
    <w:basedOn w:val="Domylnaczcionkaakapitu"/>
    <w:uiPriority w:val="32"/>
    <w:qFormat/>
    <w:rsid w:val="00E9600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751</Words>
  <Characters>4508</Characters>
  <Application>Microsoft Office Word</Application>
  <DocSecurity>0</DocSecurity>
  <Lines>37</Lines>
  <Paragraphs>10</Paragraphs>
  <ScaleCrop>false</ScaleCrop>
  <Company/>
  <LinksUpToDate>false</LinksUpToDate>
  <CharactersWithSpaces>5249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Machowski</dc:creator>
  <cp:keywords/>
  <dc:description/>
  <cp:lastModifiedBy>Michał Machowski</cp:lastModifiedBy>
  <cp:revision>2</cp:revision>
  <dcterms:created xsi:type="dcterms:W3CDTF">2024-09-25T10:11:00Z</dcterms:created>
  <dcterms:modified xsi:type="dcterms:W3CDTF">2024-09-25T10:11:00Z</dcterms:modified>
</cp:coreProperties>
</file>